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4D978E43" wp14:paraId="2C078E63" wp14:textId="7E0DCB32">
      <w:pPr>
        <w:pStyle w:val="Normal"/>
      </w:pPr>
      <w:r w:rsidR="640BB8BA">
        <w:drawing>
          <wp:inline xmlns:wp14="http://schemas.microsoft.com/office/word/2010/wordprocessingDrawing" wp14:editId="1FAA3B8B" wp14:anchorId="45F973C1">
            <wp:extent cx="2257425" cy="952500"/>
            <wp:effectExtent l="0" t="0" r="0" b="0"/>
            <wp:docPr id="74100564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f55dcc788c842cf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ACBB6C3" w:rsidP="0ACBB6C3" w:rsidRDefault="0ACBB6C3" w14:paraId="12A8EA8F" w14:textId="7FE058C6">
      <w:pPr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w:rsidR="0ACBB6C3" w:rsidP="0ACBB6C3" w:rsidRDefault="0ACBB6C3" w14:paraId="779D8BEC" w14:textId="1E157469">
      <w:pPr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w:rsidR="7831B1AB" w:rsidP="4D978E43" w:rsidRDefault="7831B1AB" w14:paraId="31031A96" w14:textId="4E238FF1">
      <w:pPr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4D978E43" w:rsidR="640BB8BA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Working for Mind in Harrow - w</w:t>
      </w:r>
      <w:r w:rsidRPr="4D978E43" w:rsidR="7831B1AB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hat we offer</w:t>
      </w:r>
    </w:p>
    <w:p w:rsidR="0ACBB6C3" w:rsidP="0ACBB6C3" w:rsidRDefault="0ACBB6C3" w14:paraId="33006280" w14:textId="68B53A1A">
      <w:pPr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w:rsidR="4163AEB2" w:rsidP="4D978E43" w:rsidRDefault="4163AEB2" w14:paraId="71C57101" w14:textId="7D1B33BE">
      <w:pPr>
        <w:ind w:left="0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D978E43" w:rsidR="4163AEB2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Central </w:t>
      </w:r>
      <w:r w:rsidRPr="4D978E43" w:rsidR="7EFF8C7C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office </w:t>
      </w:r>
      <w:r w:rsidRPr="4D978E43" w:rsidR="4163AEB2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location – </w:t>
      </w:r>
      <w:r w:rsidRPr="4D978E43" w:rsidR="4163AEB2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Mind in Harrow </w:t>
      </w:r>
      <w:r w:rsidRPr="4D978E43" w:rsidR="4163AEB2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maintains</w:t>
      </w:r>
      <w:r w:rsidRPr="4D978E43" w:rsidR="4163AEB2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an office in central Harrow, a few </w:t>
      </w:r>
      <w:r w:rsidRPr="4D978E43" w:rsidR="7C4956DF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minutes' walk</w:t>
      </w:r>
      <w:r w:rsidRPr="4D978E43" w:rsidR="4163AEB2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from Harrow on the Hill station and St Georges’ shopping </w:t>
      </w:r>
      <w:r w:rsidRPr="4D978E43" w:rsidR="4163AEB2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centr</w:t>
      </w:r>
      <w:r w:rsidRPr="4D978E43" w:rsidR="506A0F53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</w:t>
      </w:r>
      <w:r w:rsidRPr="4D978E43" w:rsidR="02AFED44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</w:p>
    <w:p w:rsidR="0ACBB6C3" w:rsidP="0ACBB6C3" w:rsidRDefault="0ACBB6C3" w14:paraId="0919CCC6" w14:textId="4626DDAF">
      <w:pPr>
        <w:ind w:left="0"/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506A0F53" w:rsidP="4D978E43" w:rsidRDefault="506A0F53" w14:paraId="2F20BF87" w14:textId="3A8E0282">
      <w:pPr>
        <w:ind w:left="0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D978E43" w:rsidR="506A0F53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Hybrid and </w:t>
      </w:r>
      <w:r w:rsidRPr="4D978E43" w:rsidR="0306F992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Flexible working - </w:t>
      </w:r>
      <w:r w:rsidRPr="4D978E43" w:rsidR="33B170F4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Mind in Harrow </w:t>
      </w:r>
      <w:r w:rsidRPr="4D978E43" w:rsidR="33B170F4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operates</w:t>
      </w:r>
      <w:r w:rsidRPr="4D978E43" w:rsidR="33B170F4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 </w:t>
      </w:r>
      <w:r w:rsidRPr="4D978E43" w:rsidR="070B00D8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hybrid working </w:t>
      </w:r>
      <w:r w:rsidRPr="4D978E43" w:rsidR="070B00D8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policy and</w:t>
      </w:r>
      <w:r w:rsidRPr="4D978E43" w:rsidR="070B00D8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 </w:t>
      </w:r>
      <w:r w:rsidRPr="4D978E43" w:rsidR="33B170F4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flexible working hours scheme whereby staff can vary the time t</w:t>
      </w:r>
      <w:r w:rsidRPr="4D978E43" w:rsidR="33B170F4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hey </w:t>
      </w:r>
      <w:r w:rsidRPr="4D978E43" w:rsidR="33B170F4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start</w:t>
      </w:r>
      <w:r w:rsidRPr="4D978E43" w:rsidR="33B170F4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and finish work</w:t>
      </w:r>
      <w:r w:rsidRPr="4D978E43" w:rsidR="7101901F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,</w:t>
      </w:r>
      <w:r w:rsidRPr="4D978E43" w:rsidR="33B170F4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4D978E43" w:rsidR="11AF1D87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provided t</w:t>
      </w:r>
      <w:r w:rsidRPr="4D978E43" w:rsidR="724F4D6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hey</w:t>
      </w:r>
      <w:r w:rsidRPr="4D978E43" w:rsidR="53E1FC97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are available during the core hours of 1</w:t>
      </w:r>
      <w:r w:rsidRPr="4D978E43" w:rsidR="6C6CE927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0.</w:t>
      </w:r>
      <w:r w:rsidRPr="4D978E43" w:rsidR="2D520AEE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0</w:t>
      </w:r>
      <w:r w:rsidRPr="4D978E43" w:rsidR="53E1FC97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0 am to </w:t>
      </w:r>
      <w:r w:rsidRPr="4D978E43" w:rsidR="2DD38417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4</w:t>
      </w:r>
      <w:r w:rsidRPr="4D978E43" w:rsidR="1869460B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.00</w:t>
      </w:r>
      <w:r w:rsidRPr="4D978E43" w:rsidR="53E1FC97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pm, as </w:t>
      </w:r>
      <w:r w:rsidRPr="4D978E43" w:rsidR="33B170F4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agreed </w:t>
      </w:r>
      <w:r w:rsidRPr="4D978E43" w:rsidR="01D35624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with</w:t>
      </w:r>
      <w:r w:rsidRPr="4D978E43" w:rsidR="33B170F4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their </w:t>
      </w:r>
      <w:r w:rsidRPr="4D978E43" w:rsidR="33B170F4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line-manager</w:t>
      </w:r>
      <w:r w:rsidRPr="4D978E43" w:rsidR="33B170F4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  <w:r w:rsidRPr="4D978E43" w:rsidR="44A94B92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4D978E43" w:rsidR="33B170F4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However, the normal hours of work </w:t>
      </w:r>
      <w:r w:rsidRPr="4D978E43" w:rsidR="6A1CFFB1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for full time employees </w:t>
      </w:r>
      <w:r w:rsidRPr="4D978E43" w:rsidR="33B170F4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are 9.00 am to 5.00pm Monday – Friday</w:t>
      </w:r>
      <w:r w:rsidRPr="4D978E43" w:rsidR="1852109E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 Restrictions may </w:t>
      </w:r>
      <w:r w:rsidRPr="4D978E43" w:rsidR="7C664494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apply </w:t>
      </w:r>
      <w:r w:rsidRPr="4D978E43" w:rsidR="1852109E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to specific posts according to </w:t>
      </w:r>
      <w:r w:rsidRPr="4D978E43" w:rsidR="58085666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</w:t>
      </w:r>
      <w:r w:rsidRPr="4D978E43" w:rsidR="1852109E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4D978E43" w:rsidR="1852109E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need</w:t>
      </w:r>
      <w:r w:rsidRPr="4D978E43" w:rsidR="45EBFCC5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 of the service</w:t>
      </w:r>
      <w:r w:rsidRPr="4D978E43" w:rsidR="1852109E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  <w:r w:rsidRPr="4D978E43" w:rsidR="33B170F4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Occasional evening or </w:t>
      </w:r>
      <w:r w:rsidRPr="4D978E43" w:rsidR="33B170F4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</w:t>
      </w:r>
      <w:r w:rsidRPr="4D978E43" w:rsidR="33B170F4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eekend </w:t>
      </w:r>
      <w:r w:rsidRPr="4D978E43" w:rsidR="33B170F4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work may be required by arrangement</w:t>
      </w:r>
      <w:r w:rsidRPr="4D978E43" w:rsidR="71D95461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for which TOIL will be provided</w:t>
      </w:r>
      <w:r w:rsidRPr="4D978E43" w:rsidR="33B170F4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</w:p>
    <w:p w:rsidR="0ACBB6C3" w:rsidP="0ACBB6C3" w:rsidRDefault="0ACBB6C3" w14:paraId="24618AB9" w14:textId="3B24775D">
      <w:pPr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4DB3D9B6" w:rsidP="4D978E43" w:rsidRDefault="4DB3D9B6" w14:paraId="2E2C4E49" w14:textId="4314C893">
      <w:pPr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D978E43" w:rsidR="4DB3D9B6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Generous Annual Leave and </w:t>
      </w:r>
      <w:r w:rsidRPr="4D978E43" w:rsidR="33B170F4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Public Holidays</w:t>
      </w:r>
      <w:r w:rsidRPr="4D978E43" w:rsidR="5001679A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4D978E43" w:rsidR="10CAD756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- </w:t>
      </w:r>
      <w:r w:rsidRPr="4D978E43" w:rsidR="512BC6FA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All </w:t>
      </w:r>
      <w:r w:rsidRPr="4D978E43" w:rsidR="30D9AE4B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full-time</w:t>
      </w:r>
      <w:r w:rsidRPr="4D978E43" w:rsidR="512BC6FA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employees receive</w:t>
      </w:r>
      <w:r w:rsidRPr="4D978E43" w:rsidR="0555A4A0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an annual leave entitlement </w:t>
      </w:r>
      <w:r w:rsidRPr="4D978E43" w:rsidR="0555A4A0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of</w:t>
      </w:r>
      <w:r w:rsidRPr="4D978E43" w:rsidR="512BC6FA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bookmarkStart w:name="_Int_QEbZQV95" w:id="1050284908"/>
      <w:r w:rsidRPr="4D978E43" w:rsidR="0E74B5C8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</w:t>
      </w:r>
      <w:r w:rsidRPr="4D978E43" w:rsidR="33B170F4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6</w:t>
      </w:r>
      <w:r w:rsidRPr="4D978E43" w:rsidR="33B170F4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day</w:t>
      </w:r>
      <w:r w:rsidRPr="4D978E43" w:rsidR="65449B1C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</w:t>
      </w:r>
      <w:bookmarkEnd w:id="1050284908"/>
      <w:r w:rsidRPr="4D978E43" w:rsidR="65449B1C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4D978E43" w:rsidR="33B170F4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rising </w:t>
      </w:r>
      <w:r w:rsidRPr="4D978E43" w:rsidR="1046A534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by </w:t>
      </w:r>
      <w:r w:rsidRPr="4D978E43" w:rsidR="33B170F4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one day per year for 5 years to a maximum of </w:t>
      </w:r>
      <w:bookmarkStart w:name="_Int_1Urg0tys" w:id="1406816479"/>
      <w:r w:rsidRPr="4D978E43" w:rsidR="33B170F4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31 days</w:t>
      </w:r>
      <w:bookmarkEnd w:id="1406816479"/>
      <w:r w:rsidRPr="4D978E43" w:rsidR="33B170F4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plus </w:t>
      </w:r>
      <w:r w:rsidRPr="4D978E43" w:rsidR="7AAD083E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all </w:t>
      </w:r>
      <w:r w:rsidRPr="4D978E43" w:rsidR="33B170F4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public holidays</w:t>
      </w:r>
      <w:r w:rsidRPr="4D978E43" w:rsidR="33B170F4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  <w:r w:rsidRPr="4D978E43" w:rsidR="0FD0AC2C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</w:t>
      </w:r>
      <w:r w:rsidRPr="4D978E43" w:rsidR="22803D36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nnual</w:t>
      </w:r>
      <w:r w:rsidRPr="4D978E43" w:rsidR="0FD0AC2C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leave and public holidays are pro rata for part-time appointments.</w:t>
      </w:r>
    </w:p>
    <w:p w:rsidR="0ACBB6C3" w:rsidP="0ACBB6C3" w:rsidRDefault="0ACBB6C3" w14:paraId="5FFC75EA" w14:textId="17F2A3CC">
      <w:pPr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3DC15F63" w:rsidP="0ACBB6C3" w:rsidRDefault="3DC15F63" w14:paraId="5779D4C1" w14:textId="699E6945">
      <w:pPr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ACBB6C3" w:rsidR="3DC15F63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</w:t>
      </w:r>
      <w:r w:rsidRPr="0ACBB6C3" w:rsidR="33B170F4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ension scheme</w:t>
      </w:r>
      <w:r w:rsidRPr="0ACBB6C3" w:rsidR="20580400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- </w:t>
      </w:r>
      <w:r w:rsidRPr="0ACBB6C3" w:rsidR="33B170F4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Mind in Harrow </w:t>
      </w:r>
      <w:r w:rsidRPr="0ACBB6C3" w:rsidR="33B170F4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operates</w:t>
      </w:r>
      <w:r w:rsidRPr="0ACBB6C3" w:rsidR="33B170F4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an Occupational Pension Scheme with The People’s Pension and makes employer contributions at 4% of gross salary.</w:t>
      </w:r>
    </w:p>
    <w:p w:rsidR="0ACBB6C3" w:rsidP="0ACBB6C3" w:rsidRDefault="0ACBB6C3" w14:paraId="210816C7" w14:textId="19CE50A6">
      <w:pPr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33B170F4" w:rsidP="0ACBB6C3" w:rsidRDefault="33B170F4" w14:paraId="037DAB22" w14:textId="312D0068">
      <w:pPr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ACBB6C3" w:rsidR="33B170F4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Sick pay - </w:t>
      </w:r>
      <w:r w:rsidRPr="0ACBB6C3" w:rsidR="33B170F4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Mind in Harrow offers </w:t>
      </w:r>
      <w:r w:rsidRPr="0ACBB6C3" w:rsidR="01D2AFCF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enhanced </w:t>
      </w:r>
      <w:r w:rsidRPr="0ACBB6C3" w:rsidR="33B170F4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company sick pay</w:t>
      </w:r>
      <w:r w:rsidRPr="0ACBB6C3" w:rsidR="245974EC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linked to length of service</w:t>
      </w:r>
      <w:r w:rsidRPr="0ACBB6C3" w:rsidR="33B170F4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</w:p>
    <w:p w:rsidR="0ACBB6C3" w:rsidP="0ACBB6C3" w:rsidRDefault="0ACBB6C3" w14:paraId="506AAACD" w14:textId="425C5B68">
      <w:pPr>
        <w:pStyle w:val="Normal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38707CA8" w:rsidP="4D978E43" w:rsidRDefault="38707CA8" w14:paraId="16BDDD43" w14:textId="23420EA3">
      <w:pPr>
        <w:pStyle w:val="Normal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D978E43" w:rsidR="38707CA8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Employee Assistance </w:t>
      </w:r>
      <w:r w:rsidRPr="4D978E43" w:rsidR="38707CA8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Programme</w:t>
      </w:r>
      <w:r w:rsidRPr="4D978E43" w:rsidR="38707CA8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– </w:t>
      </w:r>
      <w:r w:rsidRPr="4D978E43" w:rsidR="38707CA8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 confidential </w:t>
      </w:r>
      <w:r w:rsidRPr="4D978E43" w:rsidR="5BD58B4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EAP (Employee Assistance Programme)</w:t>
      </w:r>
      <w:r w:rsidRPr="4D978E43" w:rsidR="38707CA8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is available 24/7 to all employees via a website, phone</w:t>
      </w:r>
      <w:r w:rsidRPr="4D978E43" w:rsidR="3B0B29C6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line and an app to </w:t>
      </w:r>
      <w:r w:rsidRPr="4D978E43" w:rsidR="3B0B29C6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provide</w:t>
      </w:r>
      <w:r w:rsidRPr="4D978E43" w:rsidR="3B0B29C6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help and advice</w:t>
      </w:r>
      <w:r w:rsidRPr="4D978E43" w:rsidR="5BB1D613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for all life’s challenges</w:t>
      </w:r>
      <w:r w:rsidRPr="4D978E43" w:rsidR="5BB1D613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 </w:t>
      </w:r>
      <w:r w:rsidRPr="4D978E43" w:rsidR="5BB1D613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Access to professional counselling where </w:t>
      </w:r>
      <w:r w:rsidRPr="4D978E43" w:rsidR="5BB1D613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indicated</w:t>
      </w:r>
      <w:r w:rsidRPr="4D978E43" w:rsidR="5BB1D613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is also available free of </w:t>
      </w:r>
      <w:r w:rsidRPr="4D978E43" w:rsidR="5BB1D613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charge.</w:t>
      </w:r>
    </w:p>
    <w:p w:rsidR="0ACBB6C3" w:rsidP="0ACBB6C3" w:rsidRDefault="0ACBB6C3" w14:paraId="22E0DABA" w14:textId="08E2285D">
      <w:pPr>
        <w:pStyle w:val="Normal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611E414D" w:rsidP="4D978E43" w:rsidRDefault="611E414D" w14:paraId="0ED0E58E" w14:textId="670214A2">
      <w:pPr>
        <w:pStyle w:val="Normal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D978E43" w:rsidR="611E414D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Personal development opportunities – </w:t>
      </w:r>
      <w:r w:rsidRPr="4D978E43" w:rsidR="611E414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all employees </w:t>
      </w:r>
      <w:r w:rsidRPr="4D978E43" w:rsidR="611E414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benefit</w:t>
      </w:r>
      <w:r w:rsidRPr="4D978E43" w:rsidR="611E414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from regular 1:1 </w:t>
      </w:r>
      <w:bookmarkStart w:name="_Int_up8RgcEk" w:id="1955541356"/>
      <w:r w:rsidRPr="4D978E43" w:rsidR="611E414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meetings</w:t>
      </w:r>
      <w:bookmarkEnd w:id="1955541356"/>
      <w:r w:rsidRPr="4D978E43" w:rsidR="611E414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with their line manager where options for development can be </w:t>
      </w:r>
      <w:r w:rsidRPr="4D978E43" w:rsidR="310900C2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discussed</w:t>
      </w:r>
      <w:r w:rsidRPr="4D978E43" w:rsidR="611E414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and agreed</w:t>
      </w:r>
      <w:r w:rsidRPr="4D978E43" w:rsidR="611E414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  <w:r w:rsidRPr="4D978E43" w:rsidR="611E414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4D978E43" w:rsidR="6784D7B1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There is a training and development policy which includes financial support</w:t>
      </w:r>
      <w:r w:rsidRPr="4D978E43" w:rsidR="0B5E93BE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for training</w:t>
      </w:r>
      <w:r w:rsidRPr="4D978E43" w:rsidR="6784D7B1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4D978E43" w:rsidR="6784D7B1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and </w:t>
      </w:r>
      <w:r w:rsidRPr="4D978E43" w:rsidR="570961F2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an allowance for paid </w:t>
      </w:r>
      <w:r w:rsidRPr="4D978E43" w:rsidR="6784D7B1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study leave.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K9X7Xd4L2h5wl4" int2:id="3fvXwg2y">
      <int2:state int2:type="AugLoop_Text_Critique" int2:value="Rejected"/>
    </int2:textHash>
    <int2:textHash int2:hashCode="ni8UUdXdlt6RIo" int2:id="KHhVIC5j">
      <int2:state int2:type="AugLoop_Text_Critique" int2:value="Rejected"/>
    </int2:textHash>
    <int2:bookmark int2:bookmarkName="_Int_QEbZQV95" int2:invalidationBookmarkName="" int2:hashCode="8TOXUT67kToSdU" int2:id="S0bILLuY">
      <int2:state int2:type="AugLoop_Text_Critique" int2:value="Rejected"/>
    </int2:bookmark>
    <int2:bookmark int2:bookmarkName="_Int_1Urg0tys" int2:invalidationBookmarkName="" int2:hashCode="u9OJNk3Vp3FDSk" int2:id="2YBhR6Eu">
      <int2:state int2:type="AugLoop_Text_Critique" int2:value="Rejected"/>
    </int2:bookmark>
    <int2:bookmark int2:bookmarkName="_Int_up8RgcEk" int2:invalidationBookmarkName="" int2:hashCode="J8RHDbJaOasTfR" int2:id="JKwxltt6">
      <int2:state int2:type="AugLoop_Text_Critique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262BC45"/>
    <w:rsid w:val="0052276D"/>
    <w:rsid w:val="01D2AFCF"/>
    <w:rsid w:val="01D35624"/>
    <w:rsid w:val="02AFED44"/>
    <w:rsid w:val="0306F992"/>
    <w:rsid w:val="0555A4A0"/>
    <w:rsid w:val="070B00D8"/>
    <w:rsid w:val="071E95BB"/>
    <w:rsid w:val="0ACBB6C3"/>
    <w:rsid w:val="0B5E93BE"/>
    <w:rsid w:val="0E74B5C8"/>
    <w:rsid w:val="0FA7156C"/>
    <w:rsid w:val="0FD0AC2C"/>
    <w:rsid w:val="1046A534"/>
    <w:rsid w:val="1083A840"/>
    <w:rsid w:val="10CAD756"/>
    <w:rsid w:val="10F80529"/>
    <w:rsid w:val="11AF1D87"/>
    <w:rsid w:val="133BE2F8"/>
    <w:rsid w:val="14D7B359"/>
    <w:rsid w:val="1852109E"/>
    <w:rsid w:val="1869460B"/>
    <w:rsid w:val="1CEAB2C4"/>
    <w:rsid w:val="1E2168D5"/>
    <w:rsid w:val="1E7E959F"/>
    <w:rsid w:val="1F47B8F0"/>
    <w:rsid w:val="20580400"/>
    <w:rsid w:val="21B63661"/>
    <w:rsid w:val="21BE23E7"/>
    <w:rsid w:val="2262BC45"/>
    <w:rsid w:val="22803D36"/>
    <w:rsid w:val="2359F448"/>
    <w:rsid w:val="245974EC"/>
    <w:rsid w:val="24EDD723"/>
    <w:rsid w:val="26786CAD"/>
    <w:rsid w:val="2691950A"/>
    <w:rsid w:val="2D520AEE"/>
    <w:rsid w:val="2DD38417"/>
    <w:rsid w:val="2E9CA6EF"/>
    <w:rsid w:val="30D9AE4B"/>
    <w:rsid w:val="310900C2"/>
    <w:rsid w:val="33B170F4"/>
    <w:rsid w:val="3810FC0D"/>
    <w:rsid w:val="38707CA8"/>
    <w:rsid w:val="39374C28"/>
    <w:rsid w:val="3B0B29C6"/>
    <w:rsid w:val="3DC15F63"/>
    <w:rsid w:val="3E8C6990"/>
    <w:rsid w:val="4163AEB2"/>
    <w:rsid w:val="44A94B92"/>
    <w:rsid w:val="458651AC"/>
    <w:rsid w:val="45EBFCC5"/>
    <w:rsid w:val="4722220D"/>
    <w:rsid w:val="49344795"/>
    <w:rsid w:val="4BF59330"/>
    <w:rsid w:val="4D978E43"/>
    <w:rsid w:val="4DB3D9B6"/>
    <w:rsid w:val="4F2D33F2"/>
    <w:rsid w:val="5001679A"/>
    <w:rsid w:val="506A0F53"/>
    <w:rsid w:val="512BC6FA"/>
    <w:rsid w:val="53E1FC97"/>
    <w:rsid w:val="55436C2E"/>
    <w:rsid w:val="570961F2"/>
    <w:rsid w:val="58085666"/>
    <w:rsid w:val="5832337C"/>
    <w:rsid w:val="59393088"/>
    <w:rsid w:val="5BB1D613"/>
    <w:rsid w:val="5BD58B4D"/>
    <w:rsid w:val="60241D04"/>
    <w:rsid w:val="611E414D"/>
    <w:rsid w:val="61BFED65"/>
    <w:rsid w:val="640BB8BA"/>
    <w:rsid w:val="65449B1C"/>
    <w:rsid w:val="656FA622"/>
    <w:rsid w:val="668D33D6"/>
    <w:rsid w:val="6784D7B1"/>
    <w:rsid w:val="6A1CFFB1"/>
    <w:rsid w:val="6BC5BF49"/>
    <w:rsid w:val="6C6CE927"/>
    <w:rsid w:val="6CFC755A"/>
    <w:rsid w:val="7101901F"/>
    <w:rsid w:val="71D7D403"/>
    <w:rsid w:val="71D95461"/>
    <w:rsid w:val="724F4D69"/>
    <w:rsid w:val="7379CF16"/>
    <w:rsid w:val="73E9F98B"/>
    <w:rsid w:val="770871F0"/>
    <w:rsid w:val="7831B1AB"/>
    <w:rsid w:val="78BD6AAE"/>
    <w:rsid w:val="79E9109A"/>
    <w:rsid w:val="7AAD083E"/>
    <w:rsid w:val="7C4956DF"/>
    <w:rsid w:val="7C664494"/>
    <w:rsid w:val="7EB6570B"/>
    <w:rsid w:val="7EFF8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2BC45"/>
  <w15:chartTrackingRefBased/>
  <w15:docId w15:val="{9B9C5A4E-ADCE-4D01-9F1A-6E6E6F6157F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2f55dcc788c842cf" /><Relationship Type="http://schemas.microsoft.com/office/2020/10/relationships/intelligence" Target="intelligence2.xml" Id="R0b9639cded944ca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792D196DE2A74499A2AC14088A84C9" ma:contentTypeVersion="12" ma:contentTypeDescription="Create a new document." ma:contentTypeScope="" ma:versionID="bf3a7e251555045e7b14eaec93c1e56e">
  <xsd:schema xmlns:xsd="http://www.w3.org/2001/XMLSchema" xmlns:xs="http://www.w3.org/2001/XMLSchema" xmlns:p="http://schemas.microsoft.com/office/2006/metadata/properties" xmlns:ns2="b1812437-6a44-42f3-a89f-269da696859c" xmlns:ns3="761d5c41-2a64-4337-8ba4-30831525b26c" targetNamespace="http://schemas.microsoft.com/office/2006/metadata/properties" ma:root="true" ma:fieldsID="1aab54cbae916eeaea3eccb1a22966ce" ns2:_="" ns3:_="">
    <xsd:import namespace="b1812437-6a44-42f3-a89f-269da696859c"/>
    <xsd:import namespace="761d5c41-2a64-4337-8ba4-30831525b2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812437-6a44-42f3-a89f-269da69685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68fa4c5-ddc4-492e-a33a-4dce6dc9cf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1d5c41-2a64-4337-8ba4-30831525b26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ccf720ea-592c-4ae8-a1de-33bd34a246f7}" ma:internalName="TaxCatchAll" ma:showField="CatchAllData" ma:web="761d5c41-2a64-4337-8ba4-30831525b2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61d5c41-2a64-4337-8ba4-30831525b26c" xsi:nil="true"/>
    <lcf76f155ced4ddcb4097134ff3c332f xmlns="b1812437-6a44-42f3-a89f-269da696859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78EC76F-28C0-410D-889F-A753B191CB06}"/>
</file>

<file path=customXml/itemProps2.xml><?xml version="1.0" encoding="utf-8"?>
<ds:datastoreItem xmlns:ds="http://schemas.openxmlformats.org/officeDocument/2006/customXml" ds:itemID="{44920D0F-1F94-4052-AB6D-AC9A7E007B66}"/>
</file>

<file path=customXml/itemProps3.xml><?xml version="1.0" encoding="utf-8"?>
<ds:datastoreItem xmlns:ds="http://schemas.openxmlformats.org/officeDocument/2006/customXml" ds:itemID="{8CFF1185-5243-4914-89DA-B78AD0FAE1B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Jayne Pearce</dc:creator>
  <cp:keywords/>
  <dc:description/>
  <cp:lastModifiedBy>Jayne Pearce</cp:lastModifiedBy>
  <dcterms:created xsi:type="dcterms:W3CDTF">2023-08-29T08:52:17Z</dcterms:created>
  <dcterms:modified xsi:type="dcterms:W3CDTF">2023-08-29T09:33:16Z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0x01010039792D196DE2A74499A2AC14088A84C9</vt:lpwstr>
  </property>
</Properties>
</file>